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F5" w:rsidRPr="00C70AF5" w:rsidRDefault="00C70AF5" w:rsidP="00C70AF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0AF5">
        <w:rPr>
          <w:rFonts w:ascii="Times New Roman" w:hAnsi="Times New Roman"/>
          <w:b/>
          <w:sz w:val="24"/>
          <w:szCs w:val="24"/>
          <w:u w:val="single"/>
        </w:rPr>
        <w:t>3ª PARTE</w:t>
      </w:r>
    </w:p>
    <w:p w:rsidR="00C70AF5" w:rsidRDefault="00C70AF5" w:rsidP="00C70A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ANÁLISE DA PRESTAÇÃO DE CONTAS DO C. </w:t>
      </w:r>
      <w:proofErr w:type="gramStart"/>
      <w:r>
        <w:rPr>
          <w:rFonts w:ascii="Times New Roman" w:hAnsi="Times New Roman"/>
          <w:b/>
          <w:sz w:val="24"/>
          <w:szCs w:val="24"/>
        </w:rPr>
        <w:t>R.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VASCO DA GAMA</w:t>
      </w:r>
    </w:p>
    <w:p w:rsidR="00C70AF5" w:rsidRDefault="00C70AF5" w:rsidP="00C70A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EXERCÍCIO SOCIAL DE 2011 - EM 31.12.2011</w:t>
      </w:r>
    </w:p>
    <w:p w:rsidR="00C70AF5" w:rsidRDefault="00C70AF5" w:rsidP="00C70A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SUBSIDIARIAMENTE ANÁLISE DO TRIÊNIO (2011-2009)</w:t>
      </w:r>
    </w:p>
    <w:p w:rsidR="00C70AF5" w:rsidRPr="00C70AF5" w:rsidRDefault="00C70AF5" w:rsidP="00C70A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0AF5" w:rsidRDefault="00C70AF5" w:rsidP="00C70AF5">
      <w:pPr>
        <w:pStyle w:val="BNDES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 relação ao tratamento contábil das rubricas Bens Imóveis [R$ 95.319 (Mil)] e Móveis [R$ 3.214 (Mil)] já comentamos sobre o fato no tópico: </w:t>
      </w:r>
      <w:r>
        <w:rPr>
          <w:b/>
          <w:bCs/>
          <w:sz w:val="24"/>
          <w:szCs w:val="24"/>
        </w:rPr>
        <w:t>Depreciação do Imobilizado Técnico</w:t>
      </w:r>
      <w:r>
        <w:rPr>
          <w:bCs/>
          <w:sz w:val="24"/>
          <w:szCs w:val="24"/>
        </w:rPr>
        <w:t xml:space="preserve">. </w:t>
      </w:r>
    </w:p>
    <w:p w:rsidR="00C70AF5" w:rsidRDefault="00C70AF5" w:rsidP="00C70AF5">
      <w:pPr>
        <w:pStyle w:val="BNDES"/>
        <w:ind w:left="360"/>
        <w:rPr>
          <w:bCs/>
          <w:sz w:val="24"/>
          <w:szCs w:val="24"/>
        </w:rPr>
      </w:pPr>
    </w:p>
    <w:p w:rsidR="00C70AF5" w:rsidRDefault="00C70AF5" w:rsidP="00C70AF5">
      <w:pPr>
        <w:pStyle w:val="BNDES"/>
        <w:ind w:left="360"/>
        <w:rPr>
          <w:bCs/>
          <w:sz w:val="24"/>
          <w:szCs w:val="24"/>
        </w:rPr>
      </w:pPr>
    </w:p>
    <w:p w:rsidR="00C70AF5" w:rsidRDefault="00C70AF5" w:rsidP="00C70AF5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>Na parcela que se refere a Atletas em formação-Custo, R$ 9.317 (Mil), não é possível aceitar um número fechado, sem maiores esclarecimentos. Trata-se, potencialmente, da maior fonte de renda futura para agremiação, logo é importante saber quanto foi investido na formação dos atletas federados.</w:t>
      </w:r>
    </w:p>
    <w:p w:rsidR="00C70AF5" w:rsidRDefault="00C70AF5" w:rsidP="00C70AF5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 mesma forma que a rubrica </w:t>
      </w:r>
      <w:r>
        <w:rPr>
          <w:sz w:val="24"/>
          <w:szCs w:val="24"/>
        </w:rPr>
        <w:t xml:space="preserve">Atletas profissionais </w:t>
      </w:r>
      <w:proofErr w:type="spellStart"/>
      <w:r>
        <w:rPr>
          <w:sz w:val="24"/>
          <w:szCs w:val="24"/>
        </w:rPr>
        <w:t>contratados-Custo</w:t>
      </w:r>
      <w:proofErr w:type="spellEnd"/>
      <w:r>
        <w:rPr>
          <w:sz w:val="24"/>
          <w:szCs w:val="24"/>
        </w:rPr>
        <w:t xml:space="preserve"> e Amortização de Atletas </w:t>
      </w:r>
      <w:r>
        <w:rPr>
          <w:bCs/>
          <w:sz w:val="24"/>
          <w:szCs w:val="24"/>
        </w:rPr>
        <w:t>conforme abaixo:</w:t>
      </w:r>
    </w:p>
    <w:p w:rsidR="00C70AF5" w:rsidRDefault="00C70AF5" w:rsidP="00C70AF5">
      <w:pPr>
        <w:pStyle w:val="BNDES"/>
        <w:ind w:left="360"/>
        <w:rPr>
          <w:bCs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70"/>
        <w:gridCol w:w="665"/>
        <w:gridCol w:w="665"/>
        <w:gridCol w:w="545"/>
      </w:tblGrid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Atletas profissionais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contratados-Custo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24.234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14.938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4.558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Amortização Atletas.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(6.742)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(3.186)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Valor líquido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17.492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4.558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Atletas em formação-Custo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9.317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Direito de Imagem-Atleta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27.596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15.366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4.558</w:t>
            </w:r>
          </w:p>
        </w:tc>
      </w:tr>
    </w:tbl>
    <w:p w:rsidR="00C70AF5" w:rsidRDefault="00C70AF5" w:rsidP="00C70AF5">
      <w:pPr>
        <w:pStyle w:val="BNDES"/>
        <w:ind w:left="360"/>
        <w:rPr>
          <w:bCs/>
        </w:rPr>
      </w:pPr>
    </w:p>
    <w:p w:rsidR="00C70AF5" w:rsidRDefault="00C70AF5" w:rsidP="00C70AF5">
      <w:pPr>
        <w:pStyle w:val="BNDES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 partir de 2010 é que ocorreu o desmembramento e as contabilizações das rubricas acima.</w:t>
      </w:r>
    </w:p>
    <w:p w:rsidR="00C70AF5" w:rsidRDefault="00C70AF5" w:rsidP="00C70AF5">
      <w:pPr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NOTA 09 - FORNECEDORES</w:t>
      </w:r>
    </w:p>
    <w:p w:rsidR="00C70AF5" w:rsidRDefault="00C70AF5" w:rsidP="00C70AF5">
      <w:pPr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nota informa que: </w:t>
      </w:r>
      <w:r>
        <w:rPr>
          <w:rFonts w:ascii="Times New Roman" w:hAnsi="Times New Roman" w:cs="Times New Roman"/>
          <w:bCs/>
          <w:i/>
          <w:sz w:val="24"/>
          <w:szCs w:val="24"/>
        </w:rPr>
        <w:t>“Com a criação do novo Plano de Contas houve reclassificação do saldo anterior. O saldo desta conta no valor de R$ 19.250 (Mil) corresponde aos fornecedores e prestadores de serviços para as divisões no desempenho de suas funções e conservação das sedes”.</w:t>
      </w:r>
    </w:p>
    <w:p w:rsidR="00C70AF5" w:rsidRDefault="00C70AF5" w:rsidP="00C70AF5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>Os comentários feitos anteriormente se aplicam integralmente a esta rubrica, não há detalhamento dos fatos. Cabe destacar que de um ano para o outro houve um aumento de R$ 17.732 (Mil).</w:t>
      </w:r>
    </w:p>
    <w:p w:rsidR="00C70AF5" w:rsidRDefault="00C70AF5" w:rsidP="00C70AF5">
      <w:pPr>
        <w:pStyle w:val="BNDES"/>
        <w:ind w:left="360"/>
        <w:rPr>
          <w:b/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CREDORES IDENTIFICADOS</w:t>
      </w:r>
    </w:p>
    <w:p w:rsidR="00C70AF5" w:rsidRDefault="00C70AF5" w:rsidP="00C70A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principais credores identificados, com base nos dados divulgados, que correspondem a 66,6% do endividamento total (Curto e Longo Prazo: R$ 422,0 milhões) contabilizado (declarado oficialmente, apesar de sabermos que está subavaliado por não contemplar os saldos atualizados) são:</w:t>
      </w:r>
    </w:p>
    <w:p w:rsidR="00C70AF5" w:rsidRDefault="00C70AF5" w:rsidP="00C70AF5">
      <w:pPr>
        <w:pStyle w:val="BNDES"/>
        <w:rPr>
          <w:bCs/>
        </w:rPr>
      </w:pPr>
    </w:p>
    <w:p w:rsidR="00C70AF5" w:rsidRDefault="00C70AF5" w:rsidP="00C70AF5">
      <w:pPr>
        <w:pStyle w:val="BNDES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:rsidR="00C70AF5" w:rsidRDefault="00C70AF5" w:rsidP="00C70AF5">
      <w:pPr>
        <w:pStyle w:val="BNDES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 Reais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"/>
        <w:gridCol w:w="1730"/>
        <w:gridCol w:w="1116"/>
        <w:gridCol w:w="1116"/>
        <w:gridCol w:w="1116"/>
        <w:gridCol w:w="1116"/>
        <w:gridCol w:w="1146"/>
        <w:gridCol w:w="974"/>
      </w:tblGrid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Credor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31.12.2008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31.12.2009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31.12.2010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31.12.2011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Variação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%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Rede Globo de Televisão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68.215.822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62.393.000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64.743.000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55.420.000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(9.323.000)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(14,4)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Timemania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75.363.000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73.398.000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73.398.000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72.924.000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(474.000)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Clube dos Treze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24.153.751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33.101.000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23.581.000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8.245.000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(15.336.000)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(65,0)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val="en-US" w:eastAsia="en-US"/>
              </w:rPr>
            </w:pPr>
            <w:r>
              <w:rPr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bCs/>
                <w:sz w:val="18"/>
                <w:szCs w:val="18"/>
                <w:lang w:val="en-US" w:eastAsia="en-US"/>
              </w:rPr>
              <w:t>Romário</w:t>
            </w:r>
            <w:proofErr w:type="spellEnd"/>
            <w:r>
              <w:rPr>
                <w:bCs/>
                <w:sz w:val="18"/>
                <w:szCs w:val="18"/>
                <w:lang w:val="en-US" w:eastAsia="en-US"/>
              </w:rPr>
              <w:t xml:space="preserve"> Sports e Marketing </w:t>
            </w:r>
            <w:proofErr w:type="spellStart"/>
            <w:r>
              <w:rPr>
                <w:bCs/>
                <w:sz w:val="18"/>
                <w:szCs w:val="18"/>
                <w:lang w:val="en-US" w:eastAsia="en-US"/>
              </w:rPr>
              <w:t>Ltda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14.800.985.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865.985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866.185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(866.185)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(100)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Secretaria da Receita Federal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15.649.497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21.663.000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28.237.000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37.480.000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9.243.000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32,7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Federação de Futebol do Estado do Rio de Janeiro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10.673.529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9.393.000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10.837.000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6.745.000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(4.082.000)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37,7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Banco (Empréstimo Bancário)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8.098.382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6.457.000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10.475.000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40.086.000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29.611.000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182,7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Outros empréstimos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3.674.000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Edmundo A. Souza Neto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5.225.000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3.890.000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2.570.000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1.360.000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(1.210.000)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(47,1)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Espólio de Dener L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Gabino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4.300.000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4.130.000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3.875.000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(3.875.000)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(100,0)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INSS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1.616.403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6.031.000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9.568.000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12.516.000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2.948.000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30,8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FGTS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1.191.524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2.358.000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2.467.000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5.609.000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3.142.000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56,0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RP Eventos e Promoções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Ltda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2.762.000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351.000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351.000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Eurofootbal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Gestão de C e 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2.227.000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Contrato de Mútuo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4.241.000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10.673.000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6.432.000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151,7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Patty Center Serv. (Vasco Barra)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12.004.000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(12.004.000)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(100)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Two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Star </w:t>
            </w:r>
            <w:proofErr w:type="spellStart"/>
            <w:r>
              <w:rPr>
                <w:sz w:val="18"/>
                <w:szCs w:val="18"/>
                <w:lang w:eastAsia="en-US"/>
              </w:rPr>
              <w:t>Mak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(Carlos Alberto)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4.590.000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(4.240.000)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(92,4)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Felipe Eventos Esportivos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2.727.000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426.000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(2.301.000)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(84,38)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Cambuci - Acordo contratual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2.721.000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344.000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(2.377.000)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(87,36)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Alsaraiva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C. e </w:t>
            </w:r>
            <w:proofErr w:type="spellStart"/>
            <w:r>
              <w:rPr>
                <w:sz w:val="18"/>
                <w:szCs w:val="18"/>
                <w:lang w:eastAsia="en-US"/>
              </w:rPr>
              <w:t>Imob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Partc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Habbi's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2.052.000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(2.052.000)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(100)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CBF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8.000.000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9.632.000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1.632.000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20,4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Empréstimos de Terceiros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6.206.000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1.629.000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(4.577.000)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tabs>
                <w:tab w:val="left" w:pos="323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  <w:t>(73,8)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Outros Credores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8.878.000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12.768.000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17.571.000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4.803.000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37,6</w:t>
            </w:r>
          </w:p>
        </w:tc>
      </w:tr>
      <w:tr w:rsidR="00C70AF5" w:rsidTr="00C70AF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229.287.893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241.220.985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286.277.185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281.361.000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4.916.185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(1,7)</w:t>
            </w:r>
          </w:p>
        </w:tc>
      </w:tr>
    </w:tbl>
    <w:p w:rsidR="00C70AF5" w:rsidRDefault="00C70AF5" w:rsidP="00C70AF5">
      <w:pPr>
        <w:pStyle w:val="BNDES"/>
        <w:rPr>
          <w:rFonts w:ascii="Optimum" w:hAnsi="Optimum" w:cs="Arial"/>
          <w:b/>
          <w:bCs/>
          <w:sz w:val="18"/>
          <w:szCs w:val="22"/>
        </w:rPr>
      </w:pPr>
    </w:p>
    <w:p w:rsidR="00C70AF5" w:rsidRDefault="00C70AF5" w:rsidP="00C70AF5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>Consideramos o total do passivo em R$ 422,0 milhões e não 499,0 milhões conforme consta no balanço, pelas seguintes razões:</w:t>
      </w:r>
    </w:p>
    <w:p w:rsidR="00C70AF5" w:rsidRDefault="00C70AF5" w:rsidP="00C70AF5">
      <w:pPr>
        <w:pStyle w:val="BNDES"/>
        <w:numPr>
          <w:ilvl w:val="1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 Receita de Uso e Imagens a Realizar - Nota 15 no total de R$ 59.884 (Mil) refere-se a adiantamentos já recebidos, portanto, não representam riscos de desembolsos futuros. Foi considerado para a Rede Globo apenas o constante dos quadros da nota explicativa [Nota 16 - Empréstimos de Terceiros: R$ 55.420 (Mil)].</w:t>
      </w:r>
    </w:p>
    <w:p w:rsidR="00C70AF5" w:rsidRDefault="00C70AF5" w:rsidP="00C70AF5">
      <w:pPr>
        <w:pStyle w:val="BNDES"/>
        <w:numPr>
          <w:ilvl w:val="1"/>
          <w:numId w:val="1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Créditos a Receber - Nota 20 - </w:t>
      </w:r>
      <w:proofErr w:type="gramStart"/>
      <w:r>
        <w:rPr>
          <w:bCs/>
          <w:sz w:val="24"/>
          <w:szCs w:val="24"/>
        </w:rPr>
        <w:t>Receitas</w:t>
      </w:r>
      <w:proofErr w:type="gramEnd"/>
      <w:r>
        <w:rPr>
          <w:bCs/>
          <w:sz w:val="24"/>
          <w:szCs w:val="24"/>
        </w:rPr>
        <w:t xml:space="preserve"> a Realizar - Contratos de Patrocínios. Não foi considerado no passivo o total de R$ 17.111 (Mil) relativos ao quadro abaixo pelas razões comentadas a seguir:</w:t>
      </w:r>
    </w:p>
    <w:p w:rsidR="00C70AF5" w:rsidRDefault="00C70AF5" w:rsidP="00C70AF5">
      <w:pPr>
        <w:pStyle w:val="BNDES"/>
        <w:ind w:left="1440"/>
        <w:rPr>
          <w:bCs/>
          <w:sz w:val="24"/>
          <w:szCs w:val="24"/>
        </w:rPr>
      </w:pPr>
    </w:p>
    <w:p w:rsidR="00C70AF5" w:rsidRDefault="00C70AF5" w:rsidP="00C70AF5">
      <w:pPr>
        <w:pStyle w:val="BNDES"/>
        <w:rPr>
          <w:bCs/>
        </w:rPr>
      </w:pPr>
    </w:p>
    <w:p w:rsidR="00C70AF5" w:rsidRDefault="00C70AF5" w:rsidP="00C70AF5">
      <w:pPr>
        <w:pStyle w:val="BNDES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711"/>
        <w:gridCol w:w="711"/>
        <w:gridCol w:w="711"/>
      </w:tblGrid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Electrobras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7.989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35.000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49.000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Cambuj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2.457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val="es-ES_tradnl" w:eastAsia="en-US"/>
              </w:rPr>
            </w:pPr>
            <w:r>
              <w:rPr>
                <w:bCs/>
                <w:sz w:val="18"/>
                <w:szCs w:val="18"/>
                <w:lang w:val="es-ES_tradnl" w:eastAsia="en-US"/>
              </w:rPr>
              <w:t>7.887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9.379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Futebol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Club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Porto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lang w:eastAsia="en-US"/>
              </w:rPr>
              <w:t>Alesat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 xml:space="preserve"> Combustíveis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AMBEV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BMG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SPR Ind. Conf. Tecelagem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17.111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62.652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58.379</w:t>
            </w:r>
          </w:p>
        </w:tc>
      </w:tr>
    </w:tbl>
    <w:p w:rsidR="00C70AF5" w:rsidRDefault="00C70AF5" w:rsidP="00C70AF5">
      <w:pPr>
        <w:pStyle w:val="BNDES"/>
        <w:rPr>
          <w:bCs/>
        </w:rPr>
      </w:pPr>
    </w:p>
    <w:p w:rsidR="00C70AF5" w:rsidRDefault="00C70AF5" w:rsidP="00C70AF5">
      <w:pPr>
        <w:pStyle w:val="BNDES"/>
        <w:rPr>
          <w:bCs/>
          <w:sz w:val="24"/>
          <w:szCs w:val="24"/>
        </w:rPr>
      </w:pPr>
      <w:r>
        <w:rPr>
          <w:bCs/>
          <w:sz w:val="24"/>
          <w:szCs w:val="24"/>
        </w:rPr>
        <w:t>Não consta que os patrocinadores acima mencionados tenham antecipado valores futuros ao Clube. Não consta que haja previsões contratuais de devoluções de valores. Pelo que pode ser depreendido é que tais valores não deveriam estar contabilizados como Passivo. Portanto, até que prove em contrário, a contabilização está errada e questiona-se por que os auditores não se manifestaram a respeito. No mínimo a nota explicativa deveria conter um texto esclarecendo o assunto. É necessário o Conselho Fiscal se aprofundar a respeito da matéria.</w:t>
      </w:r>
    </w:p>
    <w:p w:rsidR="00C70AF5" w:rsidRDefault="00C70AF5" w:rsidP="00C70AF5">
      <w:pPr>
        <w:pStyle w:val="BNDES"/>
        <w:rPr>
          <w:bCs/>
          <w:sz w:val="24"/>
          <w:szCs w:val="24"/>
        </w:rPr>
      </w:pPr>
    </w:p>
    <w:p w:rsidR="00C70AF5" w:rsidRDefault="00C70AF5" w:rsidP="00C70AF5">
      <w:pPr>
        <w:pStyle w:val="BNDE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NOTAS 13 e 16 - EMPRÉSTIMOS DE TERCEIROS</w:t>
      </w:r>
    </w:p>
    <w:p w:rsidR="00C70AF5" w:rsidRDefault="00C70AF5" w:rsidP="00C70AF5">
      <w:pPr>
        <w:pStyle w:val="BNDES"/>
        <w:rPr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NOTA 13 - EMPRÉSTIMOS DE TERCEIROS (Curto Prazo): </w:t>
      </w:r>
      <w:r>
        <w:rPr>
          <w:rFonts w:ascii="Times New Roman" w:hAnsi="Times New Roman" w:cs="Times New Roman"/>
          <w:sz w:val="24"/>
          <w:szCs w:val="24"/>
        </w:rPr>
        <w:t>O saldo desta conta apresenta o valor de R$ 52.628 (Mil).</w:t>
      </w: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NOTA 16 - EMPRÉSTIMOS DE TERCEIROS (Longo Prazo): </w:t>
      </w:r>
      <w:r>
        <w:rPr>
          <w:rFonts w:ascii="Times New Roman" w:hAnsi="Times New Roman" w:cs="Times New Roman"/>
          <w:sz w:val="24"/>
          <w:szCs w:val="24"/>
        </w:rPr>
        <w:t>O saldo desta conta apresenta o valor de R$ 71.827 (Mil).</w:t>
      </w: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Conselho Deliberativo não autorizou a contratação destes empréstimos e financiamentos</w:t>
      </w:r>
      <w:r>
        <w:rPr>
          <w:rFonts w:ascii="Times New Roman" w:hAnsi="Times New Roman" w:cs="Times New Roman"/>
          <w:sz w:val="24"/>
          <w:szCs w:val="24"/>
        </w:rPr>
        <w:t xml:space="preserve">. No triênio 2008/2011, o conselho não foi convocado para realizar nenhuma reunião, tendo como item da “Ordem do Dia”: Discutir a autorização para a contratação de empréstimos e financiamentos, </w:t>
      </w:r>
      <w:r>
        <w:rPr>
          <w:rFonts w:ascii="Times New Roman" w:hAnsi="Times New Roman" w:cs="Times New Roman"/>
          <w:bCs/>
          <w:sz w:val="24"/>
          <w:szCs w:val="24"/>
        </w:rPr>
        <w:t>junto a terceiros, incluindo os tomados pelo Clube junto à rede bancária.</w:t>
      </w: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Inciso II do Artigo 81 do Estatuto do Clube determina que seja da competência do Conselho Deliberativo: </w:t>
      </w:r>
      <w:r>
        <w:rPr>
          <w:rFonts w:ascii="Times New Roman" w:hAnsi="Times New Roman" w:cs="Times New Roman"/>
          <w:bCs/>
          <w:i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Autorizar empréstimo, hipoteca ou alienação de bens do fundo social e abertura de créditos.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</w:p>
    <w:p w:rsidR="00C70AF5" w:rsidRDefault="00C70AF5" w:rsidP="00C70A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4"/>
          <w:szCs w:val="14"/>
        </w:rPr>
      </w:pPr>
    </w:p>
    <w:p w:rsidR="00C70AF5" w:rsidRDefault="00C70AF5" w:rsidP="00C70AF5">
      <w:pPr>
        <w:pStyle w:val="BNDES"/>
        <w:rPr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NOTA 19 - PROVISÃO DE CONTINGÊNCIAS</w:t>
      </w:r>
    </w:p>
    <w:p w:rsidR="00C70AF5" w:rsidRDefault="00C70AF5" w:rsidP="00C70AF5">
      <w:pPr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nota informa que: </w:t>
      </w:r>
      <w:r>
        <w:rPr>
          <w:rFonts w:ascii="Times New Roman" w:hAnsi="Times New Roman" w:cs="Times New Roman"/>
          <w:bCs/>
          <w:i/>
          <w:sz w:val="24"/>
          <w:szCs w:val="24"/>
        </w:rPr>
        <w:t>"Provisão para contingências no valor de R$ 112.511 (MIL), conforme levantamento do departamento jurídico do clube e considerando o seguinte critério de expectativa de perda sobre os valores para cada avaliação:"</w:t>
      </w:r>
    </w:p>
    <w:p w:rsidR="00C70AF5" w:rsidRDefault="00C70AF5" w:rsidP="00C70AF5">
      <w:pPr>
        <w:pStyle w:val="BNDES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20"/>
        <w:gridCol w:w="725"/>
        <w:gridCol w:w="635"/>
        <w:gridCol w:w="635"/>
      </w:tblGrid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2009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25.478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Cíveis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42.260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36.744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42.335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Trabalhistas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32.269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23.933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Fiscais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70AF5" w:rsidTr="00C70A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112.511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85.084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91.746</w:t>
            </w:r>
          </w:p>
        </w:tc>
      </w:tr>
    </w:tbl>
    <w:p w:rsidR="00C70AF5" w:rsidRDefault="00C70AF5" w:rsidP="00C70AF5">
      <w:pPr>
        <w:pStyle w:val="BNDES"/>
        <w:ind w:left="360"/>
        <w:rPr>
          <w:b/>
          <w:bCs/>
        </w:rPr>
      </w:pPr>
    </w:p>
    <w:p w:rsidR="00C70AF5" w:rsidRDefault="00C70AF5" w:rsidP="00C70AF5">
      <w:pPr>
        <w:pStyle w:val="BNDES"/>
        <w:ind w:left="360"/>
        <w:rPr>
          <w:b/>
          <w:bCs/>
        </w:rPr>
      </w:pPr>
    </w:p>
    <w:p w:rsidR="00C70AF5" w:rsidRDefault="00C70AF5" w:rsidP="00C70AF5">
      <w:pPr>
        <w:pStyle w:val="BNDES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Comentário:</w:t>
      </w:r>
      <w:r>
        <w:rPr>
          <w:sz w:val="24"/>
          <w:szCs w:val="24"/>
        </w:rPr>
        <w:t xml:space="preserve"> Quais foram os critérios considerados pelos Advogados para reconhecimento de perdas? </w:t>
      </w:r>
    </w:p>
    <w:p w:rsidR="00C70AF5" w:rsidRDefault="00C70AF5" w:rsidP="00C70AF5">
      <w:pPr>
        <w:pStyle w:val="BNDES"/>
        <w:rPr>
          <w:sz w:val="24"/>
          <w:szCs w:val="24"/>
        </w:rPr>
      </w:pPr>
      <w:r>
        <w:rPr>
          <w:sz w:val="24"/>
          <w:szCs w:val="24"/>
        </w:rPr>
        <w:t>O auditor independente em sua ressalva n°4 diz:</w:t>
      </w:r>
    </w:p>
    <w:p w:rsidR="00C70AF5" w:rsidRDefault="00C70AF5" w:rsidP="00C70AF5">
      <w:pPr>
        <w:pStyle w:val="BNDES"/>
        <w:rPr>
          <w:sz w:val="24"/>
          <w:szCs w:val="24"/>
        </w:rPr>
      </w:pPr>
    </w:p>
    <w:p w:rsidR="00C70AF5" w:rsidRDefault="00C70AF5" w:rsidP="00C70A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Por decisão da Administração, o critério para provisões de contingências para perdas, apontadas por seus Advogados externos, para as ações judiciais em curso, foi estabelecido em:</w:t>
      </w:r>
    </w:p>
    <w:p w:rsidR="00C70AF5" w:rsidRDefault="00C70AF5" w:rsidP="00C70A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(i) trabalhista em julgamento - 50%;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) perda provável- 100%; (iii) perda possível - 0%; (iv) e perda remota – 0%. O saldo apresentado nas demonstrações contábeis de 31 de dezembro de 2011, envolvendo contingências fiscais, cíveis e trabalhistas, é de R$ 112.510.638,23 (cento e doze milhões, quinhentos e dez mil, seiscentos e trinta e oito mil, trinta e vinte três centavos). Como procedimento de auditoria,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circularizamos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com data-base em 31.12.2011, os dois consultores jurídicos do Clube, com a finalidade</w:t>
      </w:r>
    </w:p>
    <w:p w:rsidR="00C70AF5" w:rsidRDefault="00C70AF5" w:rsidP="00C70A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atualização dos valores dos processos sob suas responsabilidades,bem como a informação de novos processos incluídos no exercício de 2011, dos quais não recebemos resposta até a data de emissão deste Relatório.”</w:t>
      </w:r>
    </w:p>
    <w:p w:rsidR="00C70AF5" w:rsidRDefault="00C70AF5" w:rsidP="00C70AF5">
      <w:pPr>
        <w:pStyle w:val="BNDES"/>
        <w:rPr>
          <w:sz w:val="24"/>
          <w:szCs w:val="24"/>
        </w:rPr>
      </w:pPr>
    </w:p>
    <w:p w:rsidR="00C70AF5" w:rsidRDefault="00C70AF5" w:rsidP="00C70AF5">
      <w:pPr>
        <w:pStyle w:val="BNDES"/>
        <w:rPr>
          <w:sz w:val="24"/>
          <w:szCs w:val="24"/>
        </w:rPr>
      </w:pPr>
      <w:r>
        <w:rPr>
          <w:sz w:val="24"/>
          <w:szCs w:val="24"/>
        </w:rPr>
        <w:t>É perceptível que os valores não estão atualizados, basta observar que a provisão do ISS é a mesma durante o triênio (2011/2009). Para as demais áreas, no triênio, ocorreram reduções/adições das provisões, mas não sabemos se fizeram atualizações (monetárias e moratórias); se foram incluídos os valores correspondentes as novas ações contra o clube ou se o clube venceu causas gerando as reversões das provisões.</w:t>
      </w:r>
    </w:p>
    <w:p w:rsidR="00C70AF5" w:rsidRDefault="00C70AF5" w:rsidP="00C70AF5">
      <w:pPr>
        <w:autoSpaceDE w:val="0"/>
        <w:autoSpaceDN w:val="0"/>
        <w:adjustRightInd w:val="0"/>
        <w:spacing w:after="0"/>
        <w:rPr>
          <w:bCs/>
          <w:sz w:val="24"/>
          <w:szCs w:val="24"/>
        </w:rPr>
      </w:pPr>
    </w:p>
    <w:p w:rsidR="00C70AF5" w:rsidRDefault="00C70AF5" w:rsidP="00C70AF5">
      <w:pPr>
        <w:pStyle w:val="BNDES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DEMONSTRAÇÃO DO RESULTADO DO EXERCÍCIO FINDO EM 31.12.2011</w:t>
      </w:r>
    </w:p>
    <w:p w:rsidR="00C70AF5" w:rsidRDefault="00C70AF5" w:rsidP="00C70AF5">
      <w:pPr>
        <w:pStyle w:val="BNDES"/>
        <w:jc w:val="left"/>
        <w:rPr>
          <w:b/>
          <w:bCs/>
          <w:sz w:val="24"/>
          <w:szCs w:val="24"/>
        </w:rPr>
      </w:pPr>
    </w:p>
    <w:p w:rsidR="00C70AF5" w:rsidRDefault="00C70AF5" w:rsidP="00C70AF5">
      <w:pPr>
        <w:pStyle w:val="BNDES"/>
        <w:jc w:val="left"/>
        <w:rPr>
          <w:bCs/>
          <w:sz w:val="24"/>
          <w:szCs w:val="24"/>
        </w:rPr>
      </w:pPr>
      <w:r>
        <w:rPr>
          <w:sz w:val="24"/>
          <w:szCs w:val="24"/>
        </w:rPr>
        <w:t>O clube apresentou em 2011 um Superávit de R$ 3.414.564,00, contra um Déficit de R$ 17.759.946,00 em 2010.</w:t>
      </w:r>
    </w:p>
    <w:p w:rsidR="00C70AF5" w:rsidRDefault="00C70AF5" w:rsidP="00C70AF5">
      <w:pPr>
        <w:pStyle w:val="BNDES"/>
        <w:rPr>
          <w:sz w:val="24"/>
          <w:szCs w:val="24"/>
        </w:rPr>
      </w:pPr>
      <w:r>
        <w:rPr>
          <w:sz w:val="24"/>
          <w:szCs w:val="24"/>
        </w:rPr>
        <w:t>As receitas em 2011 cresceram mais do que as de 2010 e as despesas, também, aumentaram em 2011 em relação a 2010, conforme é possível observar:</w:t>
      </w:r>
    </w:p>
    <w:p w:rsidR="00C70AF5" w:rsidRDefault="00C70AF5" w:rsidP="00C70AF5">
      <w:pPr>
        <w:pStyle w:val="BNDE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1"/>
        <w:gridCol w:w="1242"/>
        <w:gridCol w:w="1242"/>
        <w:gridCol w:w="950"/>
        <w:gridCol w:w="635"/>
        <w:gridCol w:w="580"/>
      </w:tblGrid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Receitas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Notas</w:t>
            </w: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Futebol Profissional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112.161.158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72.362.049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39.799.109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(a)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Outros Desportos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1.975.010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1.612.150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362.860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Rendas com Desportos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114.136.168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73.974.199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40.161.969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Quadro Social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4.524.327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3.684.596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839.731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(b)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Renda Patrimonial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8.987.543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633.322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8.354.221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1319,1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(f)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Renda Financeira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226.627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(226.627)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Receitas de Publicidades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7.595.542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3.861.031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3.734.511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96,7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(c)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Outras Receitas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1.374.871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1.178.713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196.158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(d)</w:t>
            </w: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Outras Receitas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22.482.283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9.584.289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12.896.994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 das Receitas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136.618.451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83.558.488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53.059.963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(f)</w:t>
            </w: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(-) Impostos e Contribuições.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4.047.808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1.904.613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2.143.195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Total das Receitas Líquidas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132.570.643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81.653.875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50.916.768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C70AF5" w:rsidRDefault="00C70AF5" w:rsidP="00C70AF5">
      <w:pPr>
        <w:pStyle w:val="BNDES"/>
        <w:rPr>
          <w:sz w:val="18"/>
          <w:szCs w:val="18"/>
        </w:rPr>
      </w:pPr>
    </w:p>
    <w:p w:rsidR="00C70AF5" w:rsidRDefault="00C70AF5" w:rsidP="00C70AF5">
      <w:pPr>
        <w:pStyle w:val="BNDES"/>
        <w:rPr>
          <w:sz w:val="18"/>
          <w:szCs w:val="18"/>
        </w:rPr>
      </w:pPr>
    </w:p>
    <w:p w:rsidR="00B64FCA" w:rsidRDefault="00B64FCA" w:rsidP="00C70AF5">
      <w:pPr>
        <w:pStyle w:val="BNDES"/>
        <w:rPr>
          <w:sz w:val="18"/>
          <w:szCs w:val="18"/>
        </w:rPr>
      </w:pPr>
    </w:p>
    <w:p w:rsidR="00B64FCA" w:rsidRDefault="00B64FCA" w:rsidP="00C70AF5">
      <w:pPr>
        <w:pStyle w:val="BNDES"/>
        <w:rPr>
          <w:sz w:val="18"/>
          <w:szCs w:val="18"/>
        </w:rPr>
      </w:pPr>
    </w:p>
    <w:p w:rsidR="00B64FCA" w:rsidRDefault="00B64FCA" w:rsidP="00C70AF5">
      <w:pPr>
        <w:pStyle w:val="BNDES"/>
        <w:rPr>
          <w:sz w:val="18"/>
          <w:szCs w:val="18"/>
        </w:rPr>
      </w:pPr>
    </w:p>
    <w:p w:rsidR="00B64FCA" w:rsidRDefault="00B64FCA" w:rsidP="00C70AF5">
      <w:pPr>
        <w:pStyle w:val="BNDES"/>
        <w:rPr>
          <w:sz w:val="18"/>
          <w:szCs w:val="18"/>
        </w:rPr>
      </w:pPr>
    </w:p>
    <w:p w:rsidR="00B64FCA" w:rsidRDefault="00B64FCA" w:rsidP="00C70AF5">
      <w:pPr>
        <w:pStyle w:val="BNDES"/>
        <w:rPr>
          <w:sz w:val="18"/>
          <w:szCs w:val="18"/>
        </w:rPr>
      </w:pPr>
    </w:p>
    <w:p w:rsidR="00B64FCA" w:rsidRDefault="00B64FCA" w:rsidP="00C70AF5">
      <w:pPr>
        <w:pStyle w:val="BNDES"/>
        <w:rPr>
          <w:sz w:val="18"/>
          <w:szCs w:val="18"/>
        </w:rPr>
      </w:pPr>
    </w:p>
    <w:p w:rsidR="00C70AF5" w:rsidRDefault="00C70AF5" w:rsidP="00C70AF5">
      <w:pPr>
        <w:pStyle w:val="BNDES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1"/>
        <w:gridCol w:w="1242"/>
        <w:gridCol w:w="1242"/>
        <w:gridCol w:w="1040"/>
        <w:gridCol w:w="590"/>
        <w:gridCol w:w="629"/>
      </w:tblGrid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Despesas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Notas</w:t>
            </w: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Futebol Profissional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78.547.067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69.330.591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9.216.476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Social e Esportes Amadores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26.119.674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25.517.120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602.554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Despesas Operacionais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104.666.741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94.847.711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9.819.030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Despesas/Receitas Financeiras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9.773.996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4.566.110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5.207.886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114,1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(g)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Provisão para Contingências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14.688.342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14.688.342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(h)</w:t>
            </w: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rPr>
          <w:trHeight w:val="45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Outras Despesas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24.462.338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4.566.110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19.896.228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70AF5" w:rsidTr="00C70AF5"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TOTAL GERAL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129.129.079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99.413.821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29.715.258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>
            <w:pPr>
              <w:pStyle w:val="BNDES"/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Default="00C70AF5">
            <w:pPr>
              <w:pStyle w:val="BNDES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C70AF5" w:rsidRDefault="00C70AF5" w:rsidP="00C70AF5">
      <w:pPr>
        <w:pStyle w:val="BNDES"/>
      </w:pPr>
    </w:p>
    <w:p w:rsidR="00C70AF5" w:rsidRDefault="00C70AF5" w:rsidP="00C70AF5">
      <w:pPr>
        <w:pStyle w:val="BNDES"/>
      </w:pPr>
    </w:p>
    <w:p w:rsidR="00570C53" w:rsidRDefault="00570C53"/>
    <w:sectPr w:rsidR="00570C53" w:rsidSect="00570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A5F"/>
    <w:multiLevelType w:val="hybridMultilevel"/>
    <w:tmpl w:val="C30C4E18"/>
    <w:lvl w:ilvl="0" w:tplc="98B49BA0">
      <w:start w:val="1"/>
      <w:numFmt w:val="lowerLetter"/>
      <w:lvlText w:val="(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038F"/>
    <w:multiLevelType w:val="hybridMultilevel"/>
    <w:tmpl w:val="49E66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633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C38D2"/>
    <w:multiLevelType w:val="hybridMultilevel"/>
    <w:tmpl w:val="1960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B450E"/>
    <w:multiLevelType w:val="hybridMultilevel"/>
    <w:tmpl w:val="5628A382"/>
    <w:lvl w:ilvl="0" w:tplc="1BC4776E">
      <w:start w:val="1"/>
      <w:numFmt w:val="upperRoman"/>
      <w:lvlText w:val="%1)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10488"/>
    <w:multiLevelType w:val="hybridMultilevel"/>
    <w:tmpl w:val="C906A11A"/>
    <w:lvl w:ilvl="0" w:tplc="37AE63B0">
      <w:start w:val="1"/>
      <w:numFmt w:val="lowerLetter"/>
      <w:lvlText w:val="(%1)"/>
      <w:lvlJc w:val="left"/>
      <w:pPr>
        <w:ind w:left="58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2248B"/>
    <w:multiLevelType w:val="hybridMultilevel"/>
    <w:tmpl w:val="E43A161E"/>
    <w:lvl w:ilvl="0" w:tplc="148A46F0">
      <w:start w:val="1"/>
      <w:numFmt w:val="upperLetter"/>
      <w:lvlText w:val="(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409CA"/>
    <w:multiLevelType w:val="hybridMultilevel"/>
    <w:tmpl w:val="0C8E11B0"/>
    <w:lvl w:ilvl="0" w:tplc="07523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AF5"/>
    <w:rsid w:val="00570C53"/>
    <w:rsid w:val="00B64FCA"/>
    <w:rsid w:val="00C7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0AF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70AF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70AF5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70AF5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70AF5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C70AF5"/>
    <w:rPr>
      <w:rFonts w:ascii="Arial" w:hAnsi="Arial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C70AF5"/>
    <w:pPr>
      <w:spacing w:after="120" w:line="240" w:lineRule="auto"/>
      <w:ind w:left="720"/>
      <w:contextualSpacing/>
      <w:jc w:val="both"/>
    </w:pPr>
    <w:rPr>
      <w:rFonts w:ascii="Arial" w:hAnsi="Arial" w:cs="Times New Roman"/>
      <w:sz w:val="24"/>
      <w:szCs w:val="24"/>
    </w:rPr>
  </w:style>
  <w:style w:type="paragraph" w:customStyle="1" w:styleId="BNDES">
    <w:name w:val="BNDES"/>
    <w:basedOn w:val="Normal"/>
    <w:uiPriority w:val="99"/>
    <w:rsid w:val="00C70A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70AF5"/>
    <w:pPr>
      <w:spacing w:after="0" w:line="240" w:lineRule="auto"/>
      <w:jc w:val="both"/>
    </w:pPr>
    <w:rPr>
      <w:rFonts w:ascii="Arial" w:hAnsi="Arial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1470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Hércules</dc:creator>
  <cp:lastModifiedBy>Hércules</cp:lastModifiedBy>
  <cp:revision>1</cp:revision>
  <dcterms:created xsi:type="dcterms:W3CDTF">2012-07-31T05:11:00Z</dcterms:created>
  <dcterms:modified xsi:type="dcterms:W3CDTF">2012-07-31T05:24:00Z</dcterms:modified>
</cp:coreProperties>
</file>